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3D3" w:rsidRPr="002333D3" w:rsidRDefault="002333D3" w:rsidP="002333D3">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2333D3">
        <w:rPr>
          <w:rFonts w:cs="Arial"/>
          <w:bCs/>
          <w:sz w:val="24"/>
          <w:szCs w:val="24"/>
        </w:rPr>
        <w:t>3GPP TSG RAN WG1 Meeting #</w:t>
      </w:r>
      <w:r w:rsidRPr="002333D3">
        <w:rPr>
          <w:rFonts w:eastAsia="MS Mincho" w:cs="Arial"/>
          <w:bCs/>
          <w:sz w:val="24"/>
          <w:szCs w:val="24"/>
          <w:lang w:eastAsia="ja-JP"/>
        </w:rPr>
        <w:t>85</w:t>
      </w:r>
      <w:r w:rsidRPr="002333D3">
        <w:rPr>
          <w:rFonts w:eastAsia="MS Mincho" w:cs="Arial"/>
          <w:bCs/>
          <w:sz w:val="24"/>
          <w:szCs w:val="24"/>
          <w:lang w:eastAsia="ja-JP"/>
        </w:rPr>
        <w:tab/>
      </w:r>
      <w:r w:rsidRPr="002333D3">
        <w:rPr>
          <w:rFonts w:eastAsia="MS Mincho" w:cs="Arial"/>
          <w:bCs/>
          <w:sz w:val="24"/>
          <w:szCs w:val="24"/>
          <w:lang w:eastAsia="ja-JP"/>
        </w:rPr>
        <w:tab/>
      </w:r>
      <w:r w:rsidRPr="002333D3">
        <w:rPr>
          <w:rFonts w:cs="Arial"/>
          <w:bCs/>
          <w:sz w:val="24"/>
          <w:szCs w:val="24"/>
        </w:rPr>
        <w:t>R1-165277</w:t>
      </w:r>
    </w:p>
    <w:p w:rsidR="002333D3" w:rsidRPr="00872507" w:rsidRDefault="002333D3" w:rsidP="002333D3">
      <w:pPr>
        <w:pStyle w:val="Header"/>
        <w:rPr>
          <w:rFonts w:eastAsia="MS Mincho" w:cs="Arial"/>
          <w:bCs/>
          <w:sz w:val="24"/>
          <w:szCs w:val="24"/>
          <w:lang w:val="en-US" w:eastAsia="ja-JP"/>
        </w:rPr>
      </w:pPr>
      <w:r>
        <w:rPr>
          <w:rFonts w:eastAsia="MS Mincho" w:cs="Arial"/>
          <w:bCs/>
          <w:sz w:val="24"/>
          <w:szCs w:val="24"/>
          <w:lang w:val="en-US" w:eastAsia="ja-JP"/>
        </w:rPr>
        <w:t>Nanjin</w:t>
      </w:r>
      <w:r w:rsidRPr="00872507">
        <w:rPr>
          <w:rFonts w:eastAsia="MS Mincho" w:cs="Arial"/>
          <w:bCs/>
          <w:sz w:val="24"/>
          <w:szCs w:val="24"/>
          <w:lang w:val="en-US" w:eastAsia="ja-JP"/>
        </w:rPr>
        <w:t>g, 23</w:t>
      </w:r>
      <w:r w:rsidRPr="00872507">
        <w:rPr>
          <w:rFonts w:eastAsia="MS Mincho" w:cs="Arial"/>
          <w:bCs/>
          <w:sz w:val="24"/>
          <w:szCs w:val="24"/>
          <w:vertAlign w:val="superscript"/>
          <w:lang w:val="en-US" w:eastAsia="ja-JP"/>
        </w:rPr>
        <w:t>rd</w:t>
      </w:r>
      <w:r w:rsidRPr="00872507">
        <w:rPr>
          <w:rFonts w:eastAsia="MS Mincho" w:cs="Arial"/>
          <w:bCs/>
          <w:sz w:val="24"/>
          <w:szCs w:val="24"/>
          <w:lang w:val="en-US" w:eastAsia="ja-JP"/>
        </w:rPr>
        <w:t xml:space="preserve"> - 27</w:t>
      </w:r>
      <w:r w:rsidRPr="00872507">
        <w:rPr>
          <w:rFonts w:eastAsia="MS Mincho" w:cs="Arial"/>
          <w:bCs/>
          <w:sz w:val="24"/>
          <w:szCs w:val="24"/>
          <w:vertAlign w:val="superscript"/>
          <w:lang w:val="en-US" w:eastAsia="ja-JP"/>
        </w:rPr>
        <w:t>th</w:t>
      </w:r>
      <w:r w:rsidRPr="00872507">
        <w:rPr>
          <w:rFonts w:eastAsia="MS Mincho" w:cs="Arial"/>
          <w:bCs/>
          <w:sz w:val="24"/>
          <w:szCs w:val="24"/>
          <w:lang w:val="en-US" w:eastAsia="ja-JP"/>
        </w:rPr>
        <w:t xml:space="preserve"> May 2016</w:t>
      </w:r>
    </w:p>
    <w:p w:rsidR="00005DBD" w:rsidRPr="00744368" w:rsidRDefault="00005DBD" w:rsidP="00005DBD">
      <w:pPr>
        <w:pStyle w:val="FootnoteText"/>
        <w:rPr>
          <w:lang w:val="en-US"/>
        </w:rPr>
      </w:pPr>
    </w:p>
    <w:p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rsidR="00005DBD" w:rsidRPr="00744368" w:rsidRDefault="00005DBD" w:rsidP="00005DBD">
      <w:pPr>
        <w:pStyle w:val="TdocHeader2"/>
        <w:jc w:val="left"/>
        <w:rPr>
          <w:sz w:val="20"/>
          <w:lang w:val="en-US"/>
        </w:rPr>
      </w:pPr>
      <w:r w:rsidRPr="00744368">
        <w:rPr>
          <w:sz w:val="20"/>
          <w:lang w:val="en-US"/>
        </w:rPr>
        <w:t>Title:</w:t>
      </w:r>
      <w:bookmarkStart w:id="2" w:name="Title"/>
      <w:bookmarkEnd w:id="2"/>
      <w:r w:rsidRPr="00744368">
        <w:rPr>
          <w:sz w:val="20"/>
          <w:lang w:val="en-US"/>
        </w:rPr>
        <w:tab/>
      </w:r>
      <w:r w:rsidR="00C26457">
        <w:rPr>
          <w:sz w:val="20"/>
          <w:lang w:val="en-US"/>
        </w:rPr>
        <w:t>L1 Format for V2V Transmissions using Sidelink</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2333D3">
        <w:rPr>
          <w:rFonts w:cs="Arial"/>
          <w:color w:val="312E25"/>
          <w:sz w:val="20"/>
          <w:lang w:eastAsia="sv-SE"/>
        </w:rPr>
        <w:t>6.2.2.1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C26457" w:rsidRDefault="005F6A48" w:rsidP="00C26457">
      <w:pPr>
        <w:pStyle w:val="BodyText"/>
        <w:spacing w:after="240"/>
        <w:jc w:val="both"/>
        <w:rPr>
          <w:spacing w:val="2"/>
          <w:sz w:val="20"/>
          <w:szCs w:val="20"/>
        </w:rPr>
      </w:pPr>
      <w:r>
        <w:rPr>
          <w:spacing w:val="2"/>
          <w:sz w:val="20"/>
          <w:szCs w:val="20"/>
        </w:rPr>
        <w:t xml:space="preserve">RAN plenary </w:t>
      </w:r>
      <w:r w:rsidR="00C26457">
        <w:rPr>
          <w:spacing w:val="2"/>
          <w:sz w:val="20"/>
          <w:szCs w:val="20"/>
        </w:rPr>
        <w:t>revised the V2V WID as follows:</w:t>
      </w:r>
    </w:p>
    <w:p w:rsidR="00C26457" w:rsidRPr="00C26457" w:rsidRDefault="00C26457" w:rsidP="00C26457">
      <w:pPr>
        <w:pStyle w:val="BodyText"/>
        <w:spacing w:after="240"/>
        <w:ind w:left="284"/>
        <w:jc w:val="both"/>
        <w:rPr>
          <w:i/>
          <w:spacing w:val="2"/>
          <w:sz w:val="20"/>
          <w:szCs w:val="20"/>
        </w:rPr>
      </w:pPr>
      <w:r w:rsidRPr="00C26457">
        <w:rPr>
          <w:i/>
          <w:spacing w:val="2"/>
          <w:sz w:val="20"/>
          <w:szCs w:val="20"/>
        </w:rPr>
        <w:t>The outcome of this work item should be able to support a relative speed of up to 500 km/h with enhancements/changes (e.g., adaptation of code-rate, the DMRS mapping/structure) (if necessary) to the physical layer structure designed for the relative speed up to 280 km/h.</w:t>
      </w:r>
    </w:p>
    <w:p w:rsidR="00C26457" w:rsidRDefault="00034B19" w:rsidP="00C26457">
      <w:pPr>
        <w:pStyle w:val="BodyText"/>
        <w:spacing w:after="240"/>
        <w:jc w:val="both"/>
        <w:rPr>
          <w:spacing w:val="2"/>
          <w:sz w:val="20"/>
          <w:szCs w:val="20"/>
        </w:rPr>
      </w:pPr>
      <w:r>
        <w:rPr>
          <w:spacing w:val="2"/>
          <w:sz w:val="20"/>
          <w:szCs w:val="20"/>
        </w:rPr>
        <w:t>A</w:t>
      </w:r>
      <w:r w:rsidR="00C26457">
        <w:rPr>
          <w:spacing w:val="2"/>
          <w:sz w:val="20"/>
          <w:szCs w:val="20"/>
        </w:rPr>
        <w:t xml:space="preserve"> general interest in ensuring that LTE-ITS performance exceeds the one of IEEE 802.11p in comparable scenarios was also expressed </w:t>
      </w:r>
      <w:r>
        <w:rPr>
          <w:spacing w:val="2"/>
          <w:sz w:val="20"/>
          <w:szCs w:val="20"/>
        </w:rPr>
        <w:t xml:space="preserve">in different meetings </w:t>
      </w:r>
      <w:r w:rsidR="00C26457">
        <w:rPr>
          <w:spacing w:val="2"/>
          <w:sz w:val="20"/>
          <w:szCs w:val="20"/>
        </w:rPr>
        <w:t xml:space="preserve">and supported by Ericsson. </w:t>
      </w:r>
    </w:p>
    <w:p w:rsidR="0082409E" w:rsidRPr="005360AD" w:rsidRDefault="00C26457" w:rsidP="00C26457">
      <w:pPr>
        <w:pStyle w:val="BodyText"/>
        <w:spacing w:after="240"/>
        <w:jc w:val="both"/>
        <w:rPr>
          <w:spacing w:val="2"/>
          <w:sz w:val="20"/>
          <w:szCs w:val="20"/>
        </w:rPr>
      </w:pPr>
      <w:r>
        <w:rPr>
          <w:spacing w:val="2"/>
          <w:sz w:val="20"/>
          <w:szCs w:val="20"/>
        </w:rPr>
        <w:t xml:space="preserve">In this paper we provide proposals to conclude outstanding issues in the L1 design of sidelink for V2V, taking into account both the performance need and the updated WID. Simulation results in support of the proposals </w:t>
      </w:r>
      <w:r w:rsidR="00034B19">
        <w:rPr>
          <w:spacing w:val="2"/>
          <w:sz w:val="20"/>
          <w:szCs w:val="20"/>
        </w:rPr>
        <w:t>were</w:t>
      </w:r>
      <w:r>
        <w:rPr>
          <w:spacing w:val="2"/>
          <w:sz w:val="20"/>
          <w:szCs w:val="20"/>
        </w:rPr>
        <w:t xml:space="preserve"> provided in </w:t>
      </w:r>
      <w:r w:rsidR="00034B19">
        <w:rPr>
          <w:spacing w:val="2"/>
          <w:sz w:val="20"/>
          <w:szCs w:val="20"/>
        </w:rPr>
        <w:t>[1][2]</w:t>
      </w:r>
      <w:r>
        <w:rPr>
          <w:spacing w:val="2"/>
          <w:sz w:val="20"/>
          <w:szCs w:val="20"/>
        </w:rPr>
        <w:t>.</w:t>
      </w:r>
    </w:p>
    <w:p w:rsidR="00A35AB4" w:rsidRDefault="00E44785" w:rsidP="00D55E3C">
      <w:pPr>
        <w:pStyle w:val="Heading1"/>
      </w:pPr>
      <w:bookmarkStart w:id="3" w:name="_Ref445894167"/>
      <w:bookmarkStart w:id="4" w:name="_Ref445898772"/>
      <w:r>
        <w:t xml:space="preserve">Shortened </w:t>
      </w:r>
      <w:r w:rsidR="00A35AB4">
        <w:t>symbols</w:t>
      </w:r>
    </w:p>
    <w:p w:rsidR="00A35AB4" w:rsidRDefault="00A35AB4" w:rsidP="007E6F2A">
      <w:pPr>
        <w:jc w:val="both"/>
      </w:pPr>
      <w:r>
        <w:t>It is shown in</w:t>
      </w:r>
      <w:r w:rsidR="00034B19">
        <w:t xml:space="preserve"> [1] </w:t>
      </w:r>
      <w:r>
        <w:t>that link performance can be significantly improved by reducing the AGC settling time as well as the guard period at the end of the subframe to ½ OFDM symbol. This can be achieved with minor implementation changes (i.e., without introducing multiple FFT lengths for different symbols in same subframe) by mapping the data subcarriers in a comb fashion to the first and last OFDM symbols in the subframe and thus obtaining a time repetition. In case of the last OFDM symbol in the subframe, the second ½ OFDM symbol is not transmitted since it is used for the GP.The receiver operation is also largely unaffected except for the need to replicate the half symbol in time domain before applying the conventional SC-OFDM receiver. Alternative receiver implementations are of course also possible.</w:t>
      </w:r>
      <w:r w:rsidR="00307474">
        <w:t xml:space="preserve"> </w:t>
      </w:r>
      <w:r>
        <w:t>We describe both cases in detail in the following.</w:t>
      </w:r>
    </w:p>
    <w:p w:rsidR="002D2217" w:rsidRDefault="002D2217" w:rsidP="002D2217">
      <w:pPr>
        <w:pStyle w:val="Heading1"/>
      </w:pPr>
      <w:r>
        <w:t>First OFDM Symbol in the Subframe</w:t>
      </w:r>
    </w:p>
    <w:p w:rsidR="002D2217" w:rsidRDefault="002D2217" w:rsidP="002D2217">
      <w:pPr>
        <w:pStyle w:val="Heading2"/>
      </w:pPr>
      <w:r>
        <w:t>Option 1</w:t>
      </w:r>
      <w:r w:rsidR="00DC0C8A">
        <w:t xml:space="preserve"> (preferred)</w:t>
      </w:r>
      <w:r>
        <w:t>: LTE-ITS Detection Sequence followed by Shortened OFDM Symbol</w:t>
      </w:r>
    </w:p>
    <w:p w:rsidR="00DC0C8A" w:rsidRPr="00DC0C8A" w:rsidRDefault="00DC0C8A" w:rsidP="00B46CFA">
      <w:pPr>
        <w:jc w:val="both"/>
      </w:pPr>
      <w:r>
        <w:t>In a companion contribution we propose that the LTE-ITS detection sequence is transmitted at the beginning of the first symbol of the PC5 subframe. The LTE-ITS detection sequence is quite shorter than half OFDM symbol implying thatit would be wasteful to not exploit the remaining part of the OFDM sy</w:t>
      </w:r>
      <w:bookmarkStart w:id="5" w:name="_GoBack"/>
      <w:bookmarkEnd w:id="5"/>
      <w:r>
        <w:t xml:space="preserve">mbol for transmitting data, at least for the purpose of AGC training. The half-length data OFDM symbol (plus CP) can be easily generated by mapping the precoded data to every other subcarrier as exemplified in </w:t>
      </w:r>
      <w:r>
        <w:fldChar w:fldCharType="begin"/>
      </w:r>
      <w:r>
        <w:instrText xml:space="preserve"> REF _Ref450911737 \h </w:instrText>
      </w:r>
      <w:r>
        <w:fldChar w:fldCharType="separate"/>
      </w:r>
      <w:r>
        <w:t xml:space="preserve">Figure </w:t>
      </w:r>
      <w:r>
        <w:rPr>
          <w:noProof/>
        </w:rPr>
        <w:t>1</w:t>
      </w:r>
      <w:r>
        <w:fldChar w:fldCharType="end"/>
      </w:r>
      <w:r>
        <w:t>.</w:t>
      </w:r>
    </w:p>
    <w:p w:rsidR="002D2217" w:rsidRDefault="002D2217" w:rsidP="002D2217">
      <w:pPr>
        <w:jc w:val="center"/>
      </w:pPr>
      <w:r>
        <w:rPr>
          <w:noProof/>
          <w:lang w:val="en-US"/>
        </w:rPr>
        <w:drawing>
          <wp:inline distT="0" distB="0" distL="0" distR="0" wp14:anchorId="17CB0D00" wp14:editId="63BE71B8">
            <wp:extent cx="6407624" cy="13550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0861" cy="1355726"/>
                    </a:xfrm>
                    <a:prstGeom prst="rect">
                      <a:avLst/>
                    </a:prstGeom>
                    <a:noFill/>
                  </pic:spPr>
                </pic:pic>
              </a:graphicData>
            </a:graphic>
          </wp:inline>
        </w:drawing>
      </w:r>
    </w:p>
    <w:p w:rsidR="002D2217" w:rsidRDefault="002D2217" w:rsidP="002D2217">
      <w:pPr>
        <w:pStyle w:val="Caption"/>
        <w:jc w:val="center"/>
      </w:pPr>
      <w:bookmarkStart w:id="6" w:name="_Ref450911737"/>
      <w:r>
        <w:t xml:space="preserve">Figure </w:t>
      </w:r>
      <w:r>
        <w:fldChar w:fldCharType="begin"/>
      </w:r>
      <w:r>
        <w:instrText xml:space="preserve"> SEQ Figure \* ARABIC </w:instrText>
      </w:r>
      <w:r>
        <w:fldChar w:fldCharType="separate"/>
      </w:r>
      <w:r>
        <w:rPr>
          <w:noProof/>
        </w:rPr>
        <w:t>1</w:t>
      </w:r>
      <w:r>
        <w:fldChar w:fldCharType="end"/>
      </w:r>
      <w:bookmarkEnd w:id="6"/>
      <w:r>
        <w:t>: Generation of LTE-ITS detection sequence [3] followed by half-length OFDM symbol for AGC training.</w:t>
      </w:r>
    </w:p>
    <w:p w:rsidR="002D2217" w:rsidRPr="002D2217" w:rsidRDefault="002D2217" w:rsidP="002D2217"/>
    <w:p w:rsidR="00E44785" w:rsidRDefault="002D2217" w:rsidP="00AD2214">
      <w:pPr>
        <w:pStyle w:val="Heading2"/>
      </w:pPr>
      <w:bookmarkStart w:id="7" w:name="_Ref447293970"/>
      <w:r>
        <w:lastRenderedPageBreak/>
        <w:t>Option 2</w:t>
      </w:r>
      <w:r w:rsidR="00DC0C8A">
        <w:t xml:space="preserve"> (2</w:t>
      </w:r>
      <w:r w:rsidR="00DC0C8A" w:rsidRPr="00DC0C8A">
        <w:rPr>
          <w:vertAlign w:val="superscript"/>
        </w:rPr>
        <w:t>nd</w:t>
      </w:r>
      <w:r w:rsidR="00DC0C8A">
        <w:t xml:space="preserve"> preference)</w:t>
      </w:r>
      <w:r>
        <w:t xml:space="preserve">: </w:t>
      </w:r>
      <w:r w:rsidR="00A35AB4">
        <w:t xml:space="preserve">Shortened </w:t>
      </w:r>
      <w:r w:rsidR="00E44785">
        <w:t>AGC Settling Time</w:t>
      </w:r>
      <w:bookmarkEnd w:id="3"/>
      <w:bookmarkEnd w:id="4"/>
      <w:bookmarkEnd w:id="7"/>
    </w:p>
    <w:p w:rsidR="002D2217" w:rsidRDefault="002D2217" w:rsidP="002D2217">
      <w:pPr>
        <w:keepNext/>
        <w:jc w:val="center"/>
      </w:pPr>
      <w:r>
        <w:rPr>
          <w:noProof/>
          <w:lang w:val="en-US"/>
        </w:rPr>
        <w:drawing>
          <wp:inline distT="0" distB="0" distL="0" distR="0" wp14:anchorId="712E9E48" wp14:editId="247B1862">
            <wp:extent cx="4544704" cy="1511026"/>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5213" cy="1511195"/>
                    </a:xfrm>
                    <a:prstGeom prst="rect">
                      <a:avLst/>
                    </a:prstGeom>
                    <a:noFill/>
                  </pic:spPr>
                </pic:pic>
              </a:graphicData>
            </a:graphic>
          </wp:inline>
        </w:drawing>
      </w:r>
    </w:p>
    <w:p w:rsidR="002D2217" w:rsidRDefault="002D2217" w:rsidP="002D2217">
      <w:pPr>
        <w:pStyle w:val="Caption"/>
        <w:jc w:val="center"/>
      </w:pPr>
      <w:bookmarkStart w:id="8" w:name="_Ref445739197"/>
      <w:proofErr w:type="gramStart"/>
      <w:r>
        <w:t xml:space="preserve">Figure </w:t>
      </w:r>
      <w:r>
        <w:fldChar w:fldCharType="begin"/>
      </w:r>
      <w:r>
        <w:instrText xml:space="preserve"> SEQ Figure \* ARABIC </w:instrText>
      </w:r>
      <w:r>
        <w:fldChar w:fldCharType="separate"/>
      </w:r>
      <w:r>
        <w:rPr>
          <w:noProof/>
        </w:rPr>
        <w:t>2</w:t>
      </w:r>
      <w:r>
        <w:fldChar w:fldCharType="end"/>
      </w:r>
      <w:bookmarkEnd w:id="8"/>
      <w:r>
        <w:t>.</w:t>
      </w:r>
      <w:proofErr w:type="gramEnd"/>
      <w:r>
        <w:t xml:space="preserve"> </w:t>
      </w:r>
      <w:proofErr w:type="gramStart"/>
      <w:r>
        <w:t>Illustration of generation of a comb-like OFDM symbol at the transmitter.</w:t>
      </w:r>
      <w:proofErr w:type="gramEnd"/>
      <w:r>
        <w:t xml:space="preserve"> </w:t>
      </w:r>
    </w:p>
    <w:p w:rsidR="00E44785" w:rsidRPr="00C03DC2" w:rsidRDefault="00817D30">
      <w:pPr>
        <w:jc w:val="both"/>
      </w:pPr>
      <w:r>
        <w:t>T</w:t>
      </w:r>
      <w:r w:rsidR="00E44785">
        <w:t>he first OFDM symbol in a transmission may be lost due to the settling time of the receiver AGC. We believe that is feasible to reduce this settling period and hence reduce the system overhead. More specifically, we believe that a time interval equivalent to half OFDM symbol (~33.35 µs, with normal CP) is sufficient. Note that this reduced AGC settling period is still significantly larger than the one used by 802.11p receivers.</w:t>
      </w:r>
    </w:p>
    <w:p w:rsidR="00E7361E" w:rsidRDefault="00E7361E" w:rsidP="00C26457">
      <w:pPr>
        <w:jc w:val="both"/>
      </w:pPr>
      <w:r>
        <w:t>To exploit the shortened AGC sett</w:t>
      </w:r>
      <w:r w:rsidR="00E44785">
        <w:t>ling period, we propose to use c</w:t>
      </w:r>
      <w:r>
        <w:t>omb-like transmission of data in the first OFDM symbol</w:t>
      </w:r>
      <w:r w:rsidR="00195B0E">
        <w:t xml:space="preserve">. That is, the transmitter uses only every other subcarrier within its allocated band, setting to zero the remaining subcarriers. In this way, the resulting time-domain vector contains the two identical half-symbols. </w:t>
      </w:r>
      <w:r w:rsidR="006433B2">
        <w:t xml:space="preserve">This is illustrated in </w:t>
      </w:r>
      <w:r w:rsidR="006433B2">
        <w:fldChar w:fldCharType="begin"/>
      </w:r>
      <w:r w:rsidR="006433B2">
        <w:instrText xml:space="preserve"> REF _Ref445739197 \h </w:instrText>
      </w:r>
      <w:r w:rsidR="006433B2">
        <w:fldChar w:fldCharType="separate"/>
      </w:r>
      <w:r w:rsidR="00777353">
        <w:t xml:space="preserve">Figure </w:t>
      </w:r>
      <w:r w:rsidR="00777353">
        <w:rPr>
          <w:noProof/>
        </w:rPr>
        <w:t>2</w:t>
      </w:r>
      <w:r w:rsidR="006433B2">
        <w:fldChar w:fldCharType="end"/>
      </w:r>
      <w:r w:rsidR="006433B2">
        <w:t>.</w:t>
      </w:r>
    </w:p>
    <w:p w:rsidR="004B5117" w:rsidRPr="00C03DC2" w:rsidRDefault="004B5117" w:rsidP="007E6F2A">
      <w:pPr>
        <w:rPr>
          <w:b/>
          <w:i/>
        </w:rPr>
      </w:pPr>
      <w:r w:rsidRPr="00C26457">
        <w:rPr>
          <w:b/>
          <w:i/>
        </w:rPr>
        <w:t>Proposal</w:t>
      </w:r>
      <w:r w:rsidR="007E6F2A">
        <w:rPr>
          <w:b/>
          <w:i/>
        </w:rPr>
        <w:t>s</w:t>
      </w:r>
      <w:r w:rsidRPr="00C26457">
        <w:rPr>
          <w:b/>
          <w:i/>
        </w:rPr>
        <w:t>:</w:t>
      </w:r>
    </w:p>
    <w:p w:rsidR="00E44785" w:rsidRPr="00E44785" w:rsidRDefault="00C03DC2" w:rsidP="00E44785">
      <w:pPr>
        <w:pStyle w:val="ListParagraph"/>
        <w:numPr>
          <w:ilvl w:val="0"/>
          <w:numId w:val="40"/>
        </w:numPr>
        <w:rPr>
          <w:b/>
          <w:i/>
        </w:rPr>
      </w:pPr>
      <w:r w:rsidRPr="00C03DC2">
        <w:rPr>
          <w:rFonts w:ascii="Times New Roman" w:hAnsi="Times New Roman" w:cs="Times New Roman"/>
          <w:b/>
          <w:i/>
          <w:sz w:val="20"/>
          <w:szCs w:val="20"/>
        </w:rPr>
        <w:t>Comb-like</w:t>
      </w:r>
      <w:r>
        <w:rPr>
          <w:rFonts w:ascii="Times New Roman" w:hAnsi="Times New Roman" w:cs="Times New Roman"/>
          <w:b/>
          <w:i/>
          <w:sz w:val="20"/>
          <w:szCs w:val="20"/>
        </w:rPr>
        <w:t xml:space="preserve"> transmission is used for the first OFDM symbol.</w:t>
      </w:r>
    </w:p>
    <w:p w:rsidR="00E44785" w:rsidRDefault="00E44785" w:rsidP="00E44785">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Inform RAN4 that halved AGC settling time is assumed by RAN1.</w:t>
      </w:r>
    </w:p>
    <w:p w:rsidR="00594E8A" w:rsidRDefault="00594E8A" w:rsidP="00E44785">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As first preference, the LTE-ITS detection sequence is sent during the first part of the first OFDM symbol in the subframe, followed by CP and half-length OFDM symbol</w:t>
      </w:r>
    </w:p>
    <w:p w:rsidR="00594E8A" w:rsidRPr="00594E8A" w:rsidRDefault="00594E8A" w:rsidP="00594E8A">
      <w:pPr>
        <w:pStyle w:val="ListParagraph"/>
        <w:numPr>
          <w:ilvl w:val="1"/>
          <w:numId w:val="40"/>
        </w:numPr>
        <w:rPr>
          <w:rFonts w:ascii="Times New Roman" w:hAnsi="Times New Roman" w:cs="Times New Roman"/>
          <w:b/>
          <w:i/>
          <w:sz w:val="20"/>
          <w:szCs w:val="20"/>
        </w:rPr>
      </w:pPr>
      <w:r>
        <w:rPr>
          <w:rFonts w:ascii="Times New Roman" w:hAnsi="Times New Roman" w:cs="Times New Roman"/>
          <w:b/>
          <w:i/>
          <w:sz w:val="20"/>
          <w:szCs w:val="20"/>
        </w:rPr>
        <w:t>As second preference, the first OFDM symbol in the subframe is generated using comb subcarrier mapping and only the first half may be used for AGC training.</w:t>
      </w:r>
    </w:p>
    <w:p w:rsidR="00E44785" w:rsidRPr="00E44785" w:rsidRDefault="00E44785" w:rsidP="002D2217">
      <w:pPr>
        <w:jc w:val="center"/>
        <w:rPr>
          <w:b/>
          <w:i/>
          <w:lang w:val="en-US"/>
        </w:rPr>
      </w:pPr>
    </w:p>
    <w:p w:rsidR="00283FFD" w:rsidRPr="00283FFD" w:rsidRDefault="002D2217" w:rsidP="002D2217">
      <w:pPr>
        <w:pStyle w:val="Heading1"/>
      </w:pPr>
      <w:r>
        <w:t>Last OFDM Symbol in the Subframe</w:t>
      </w:r>
    </w:p>
    <w:p w:rsidR="00AD2214" w:rsidRDefault="00A35AB4" w:rsidP="00AD2214">
      <w:pPr>
        <w:jc w:val="both"/>
      </w:pPr>
      <w:r>
        <w:t xml:space="preserve">Based on propagation time considerations, we believe that for the typical communication distances and transmit powers used by V2V </w:t>
      </w:r>
      <w:proofErr w:type="gramStart"/>
      <w:r>
        <w:t>UEs,</w:t>
      </w:r>
      <w:proofErr w:type="gramEnd"/>
      <w:r>
        <w:t xml:space="preserve"> it suffices with a shortened GP. For example, a GP with half symbol duration (~33.35 µs, with normal CP)</w:t>
      </w:r>
      <w:r w:rsidR="00AD2214">
        <w:t xml:space="preserve"> is sufficient for timing misalignements between UEs</w:t>
      </w:r>
      <w:r w:rsidR="00777353">
        <w:t xml:space="preserve"> up to 10 km from each other</w:t>
      </w:r>
      <w:r w:rsidR="00AD2214">
        <w:t>. This leaves part of the OFDM symbol usable for transmission.</w:t>
      </w:r>
    </w:p>
    <w:p w:rsidR="00E44785" w:rsidRDefault="00CC404B" w:rsidP="00ED1231">
      <w:pPr>
        <w:jc w:val="both"/>
      </w:pPr>
      <w:r>
        <w:t xml:space="preserve">We propose to </w:t>
      </w:r>
      <w:r w:rsidR="00E17C22">
        <w:t xml:space="preserve">transmit during the first half of the last OFDM symbol. For </w:t>
      </w:r>
      <w:r w:rsidR="007E6F2A">
        <w:t>generating the singal</w:t>
      </w:r>
      <w:r w:rsidR="00E17C22">
        <w:t xml:space="preserve">, we propose to utilize the scheme illustrated in </w:t>
      </w:r>
      <w:r w:rsidR="00E17C22">
        <w:fldChar w:fldCharType="begin"/>
      </w:r>
      <w:r w:rsidR="00E17C22">
        <w:instrText xml:space="preserve"> REF _Ref445739197 \h </w:instrText>
      </w:r>
      <w:r w:rsidR="00E17C22">
        <w:fldChar w:fldCharType="separate"/>
      </w:r>
      <w:r w:rsidR="00777353">
        <w:t xml:space="preserve">Figure </w:t>
      </w:r>
      <w:r w:rsidR="00777353">
        <w:rPr>
          <w:noProof/>
        </w:rPr>
        <w:t>2</w:t>
      </w:r>
      <w:r w:rsidR="00E17C22">
        <w:fldChar w:fldCharType="end"/>
      </w:r>
      <w:r w:rsidR="00E17C22">
        <w:t xml:space="preserve">. However, to realize the guard period, only the first half symbol is transmitted. </w:t>
      </w:r>
    </w:p>
    <w:p w:rsidR="00C03DC2" w:rsidRPr="00C03DC2" w:rsidRDefault="00C03DC2" w:rsidP="007E6F2A">
      <w:pPr>
        <w:spacing w:before="240"/>
        <w:rPr>
          <w:b/>
          <w:i/>
        </w:rPr>
      </w:pPr>
      <w:r w:rsidRPr="00C03DC2">
        <w:rPr>
          <w:b/>
          <w:i/>
        </w:rPr>
        <w:t>Proposal:</w:t>
      </w:r>
    </w:p>
    <w:p w:rsidR="00A72EAB" w:rsidRPr="007E6F2A" w:rsidRDefault="00C03DC2" w:rsidP="007E6F2A">
      <w:pPr>
        <w:pStyle w:val="ListParagraph"/>
        <w:numPr>
          <w:ilvl w:val="0"/>
          <w:numId w:val="40"/>
        </w:numPr>
        <w:jc w:val="both"/>
        <w:rPr>
          <w:b/>
          <w:i/>
        </w:rPr>
      </w:pPr>
      <w:r w:rsidRPr="00C26457">
        <w:rPr>
          <w:rFonts w:ascii="Times New Roman" w:hAnsi="Times New Roman" w:cs="Times New Roman"/>
          <w:b/>
          <w:i/>
          <w:sz w:val="20"/>
          <w:szCs w:val="20"/>
        </w:rPr>
        <w:t>Comb-l</w:t>
      </w:r>
      <w:r w:rsidR="001A380F">
        <w:rPr>
          <w:rFonts w:ascii="Times New Roman" w:hAnsi="Times New Roman" w:cs="Times New Roman"/>
          <w:b/>
          <w:i/>
          <w:sz w:val="20"/>
          <w:szCs w:val="20"/>
        </w:rPr>
        <w:t>ike transmission is used for generating the last symbol in the subframe</w:t>
      </w:r>
      <w:r>
        <w:rPr>
          <w:rFonts w:ascii="Times New Roman" w:hAnsi="Times New Roman" w:cs="Times New Roman"/>
          <w:b/>
          <w:i/>
          <w:sz w:val="20"/>
          <w:szCs w:val="20"/>
        </w:rPr>
        <w:t>. Only the first half symbol is actually transmitted</w:t>
      </w:r>
      <w:r w:rsidRPr="00C26457">
        <w:rPr>
          <w:rFonts w:ascii="Times New Roman" w:hAnsi="Times New Roman" w:cs="Times New Roman"/>
          <w:b/>
          <w:i/>
          <w:sz w:val="20"/>
          <w:szCs w:val="20"/>
        </w:rPr>
        <w:t>.</w:t>
      </w:r>
    </w:p>
    <w:p w:rsidR="001A380F" w:rsidRPr="00E44785" w:rsidRDefault="001A380F" w:rsidP="00E44785">
      <w:pPr>
        <w:jc w:val="both"/>
        <w:rPr>
          <w:lang w:val="en-US"/>
        </w:rPr>
      </w:pPr>
    </w:p>
    <w:p w:rsidR="00D0339F" w:rsidRPr="002333D3" w:rsidRDefault="00D0339F" w:rsidP="00D0339F">
      <w:pPr>
        <w:pStyle w:val="Heading1"/>
      </w:pPr>
      <w:r w:rsidRPr="002333D3">
        <w:t>Conclusions</w:t>
      </w:r>
      <w:r w:rsidR="00A11B11" w:rsidRPr="002333D3">
        <w:t xml:space="preserve"> </w:t>
      </w:r>
    </w:p>
    <w:p w:rsidR="00917997" w:rsidRPr="002333D3" w:rsidRDefault="00307474" w:rsidP="00917997">
      <w:pPr>
        <w:rPr>
          <w:lang w:val="en-US"/>
        </w:rPr>
      </w:pPr>
      <w:r w:rsidRPr="002333D3">
        <w:rPr>
          <w:lang w:val="en-US"/>
        </w:rPr>
        <w:t>In this paper we conclude outstanding issues of the L1 format for V2V over PC5.</w:t>
      </w:r>
    </w:p>
    <w:p w:rsidR="00307474" w:rsidRPr="002333D3" w:rsidRDefault="00307474" w:rsidP="00307474">
      <w:pPr>
        <w:rPr>
          <w:b/>
          <w:i/>
        </w:rPr>
      </w:pPr>
      <w:r w:rsidRPr="002333D3">
        <w:rPr>
          <w:b/>
          <w:i/>
        </w:rPr>
        <w:t>Proposals:</w:t>
      </w:r>
    </w:p>
    <w:p w:rsidR="00307474" w:rsidRPr="002333D3" w:rsidRDefault="00307474" w:rsidP="00307474">
      <w:pPr>
        <w:pStyle w:val="ListParagraph"/>
        <w:numPr>
          <w:ilvl w:val="0"/>
          <w:numId w:val="40"/>
        </w:numPr>
        <w:rPr>
          <w:b/>
          <w:i/>
        </w:rPr>
      </w:pPr>
      <w:r w:rsidRPr="002333D3">
        <w:rPr>
          <w:rFonts w:ascii="Times New Roman" w:hAnsi="Times New Roman" w:cs="Times New Roman"/>
          <w:b/>
          <w:i/>
          <w:sz w:val="20"/>
          <w:szCs w:val="20"/>
        </w:rPr>
        <w:t>Comb-like transmission is used for the first OFDM symbol.</w:t>
      </w:r>
    </w:p>
    <w:p w:rsidR="00307474" w:rsidRPr="002333D3" w:rsidRDefault="00307474" w:rsidP="00307474">
      <w:pPr>
        <w:pStyle w:val="ListParagraph"/>
        <w:numPr>
          <w:ilvl w:val="0"/>
          <w:numId w:val="40"/>
        </w:numPr>
        <w:rPr>
          <w:rFonts w:ascii="Times New Roman" w:hAnsi="Times New Roman" w:cs="Times New Roman"/>
          <w:b/>
          <w:i/>
          <w:sz w:val="20"/>
          <w:szCs w:val="20"/>
        </w:rPr>
      </w:pPr>
      <w:r w:rsidRPr="002333D3">
        <w:rPr>
          <w:rFonts w:ascii="Times New Roman" w:hAnsi="Times New Roman" w:cs="Times New Roman"/>
          <w:b/>
          <w:i/>
          <w:sz w:val="20"/>
          <w:szCs w:val="20"/>
        </w:rPr>
        <w:t>Inform RAN4 that halved AGC settling time is assumed by RAN1.</w:t>
      </w:r>
    </w:p>
    <w:p w:rsidR="00307474" w:rsidRPr="002333D3" w:rsidRDefault="00307474" w:rsidP="00307474">
      <w:pPr>
        <w:pStyle w:val="ListParagraph"/>
        <w:numPr>
          <w:ilvl w:val="0"/>
          <w:numId w:val="40"/>
        </w:numPr>
        <w:rPr>
          <w:rFonts w:ascii="Times New Roman" w:hAnsi="Times New Roman" w:cs="Times New Roman"/>
          <w:b/>
          <w:i/>
          <w:sz w:val="20"/>
          <w:szCs w:val="20"/>
        </w:rPr>
      </w:pPr>
      <w:r w:rsidRPr="002333D3">
        <w:rPr>
          <w:rFonts w:ascii="Times New Roman" w:hAnsi="Times New Roman" w:cs="Times New Roman"/>
          <w:b/>
          <w:i/>
          <w:sz w:val="20"/>
          <w:szCs w:val="20"/>
        </w:rPr>
        <w:t>As first preference, the LTE-ITS detection sequence is sent during the first part of the first OFDM symbol in the subframe, followed by CP and half-length OFDM symbol</w:t>
      </w:r>
    </w:p>
    <w:p w:rsidR="00307474" w:rsidRPr="002333D3" w:rsidRDefault="00307474" w:rsidP="00307474">
      <w:pPr>
        <w:pStyle w:val="ListParagraph"/>
        <w:numPr>
          <w:ilvl w:val="1"/>
          <w:numId w:val="40"/>
        </w:numPr>
        <w:rPr>
          <w:rFonts w:ascii="Times New Roman" w:hAnsi="Times New Roman" w:cs="Times New Roman"/>
          <w:b/>
          <w:i/>
          <w:sz w:val="20"/>
          <w:szCs w:val="20"/>
        </w:rPr>
      </w:pPr>
      <w:r w:rsidRPr="002333D3">
        <w:rPr>
          <w:rFonts w:ascii="Times New Roman" w:hAnsi="Times New Roman" w:cs="Times New Roman"/>
          <w:b/>
          <w:i/>
          <w:sz w:val="20"/>
          <w:szCs w:val="20"/>
        </w:rPr>
        <w:t>As second preference, the first OFDM symbol in the subframe is generated using comb subcarrier mapping and only the first half may be used for AGC training.</w:t>
      </w:r>
    </w:p>
    <w:p w:rsidR="00307474" w:rsidRPr="002333D3" w:rsidRDefault="00307474" w:rsidP="00917997">
      <w:pPr>
        <w:pStyle w:val="ListParagraph"/>
        <w:numPr>
          <w:ilvl w:val="0"/>
          <w:numId w:val="40"/>
        </w:numPr>
        <w:jc w:val="both"/>
        <w:rPr>
          <w:b/>
          <w:i/>
        </w:rPr>
      </w:pPr>
      <w:r w:rsidRPr="002333D3">
        <w:rPr>
          <w:rFonts w:ascii="Times New Roman" w:hAnsi="Times New Roman" w:cs="Times New Roman"/>
          <w:b/>
          <w:i/>
          <w:sz w:val="20"/>
          <w:szCs w:val="20"/>
        </w:rPr>
        <w:t>Comb-like transmission is used for generating the last symbol in the subframe. Only the first half symbol is actually transmitted.</w:t>
      </w:r>
    </w:p>
    <w:p w:rsidR="009A1074" w:rsidRPr="002333D3" w:rsidRDefault="00C02A80" w:rsidP="00856691">
      <w:pPr>
        <w:pStyle w:val="Heading1"/>
      </w:pPr>
      <w:r w:rsidRPr="002333D3">
        <w:lastRenderedPageBreak/>
        <w:t>References</w:t>
      </w:r>
    </w:p>
    <w:p w:rsidR="00B553F0" w:rsidRPr="002333D3" w:rsidRDefault="00B553F0" w:rsidP="007E6F2A">
      <w:pPr>
        <w:pStyle w:val="ListParagraph"/>
        <w:numPr>
          <w:ilvl w:val="0"/>
          <w:numId w:val="46"/>
        </w:numPr>
        <w:spacing w:after="240"/>
        <w:rPr>
          <w:rFonts w:ascii="Times New Roman" w:hAnsi="Times New Roman" w:cs="Times New Roman"/>
          <w:sz w:val="20"/>
        </w:rPr>
      </w:pPr>
      <w:bookmarkStart w:id="9" w:name="_Ref447291146"/>
      <w:r w:rsidRPr="002333D3">
        <w:rPr>
          <w:rFonts w:ascii="Times New Roman" w:hAnsi="Times New Roman" w:cs="Times New Roman"/>
          <w:sz w:val="20"/>
        </w:rPr>
        <w:t>R1-162826, “Link Level Simulations for Sidelink”, Ericsson</w:t>
      </w:r>
      <w:bookmarkEnd w:id="9"/>
      <w:r w:rsidR="005B5508" w:rsidRPr="002333D3">
        <w:rPr>
          <w:rFonts w:ascii="Times New Roman" w:hAnsi="Times New Roman" w:cs="Times New Roman"/>
          <w:sz w:val="20"/>
        </w:rPr>
        <w:t>.</w:t>
      </w:r>
    </w:p>
    <w:p w:rsidR="002019D0" w:rsidRPr="002333D3" w:rsidRDefault="00B553F0" w:rsidP="00417A97">
      <w:pPr>
        <w:pStyle w:val="ListParagraph"/>
        <w:numPr>
          <w:ilvl w:val="0"/>
          <w:numId w:val="46"/>
        </w:numPr>
        <w:spacing w:after="240"/>
        <w:rPr>
          <w:rFonts w:ascii="Times New Roman" w:hAnsi="Times New Roman" w:cs="Times New Roman"/>
          <w:sz w:val="20"/>
        </w:rPr>
      </w:pPr>
      <w:bookmarkStart w:id="10" w:name="_Ref447291246"/>
      <w:r w:rsidRPr="002333D3">
        <w:rPr>
          <w:rFonts w:ascii="Times New Roman" w:hAnsi="Times New Roman" w:cs="Times New Roman"/>
          <w:sz w:val="20"/>
        </w:rPr>
        <w:t>R1-162830, “System Level Simulation Results of Potential PC5 Design Options for V2X”, Ericsson</w:t>
      </w:r>
      <w:bookmarkEnd w:id="10"/>
      <w:r w:rsidR="005B5508" w:rsidRPr="002333D3">
        <w:rPr>
          <w:rFonts w:ascii="Times New Roman" w:hAnsi="Times New Roman" w:cs="Times New Roman"/>
          <w:sz w:val="20"/>
        </w:rPr>
        <w:t>.</w:t>
      </w:r>
    </w:p>
    <w:p w:rsidR="002D2217" w:rsidRPr="002333D3" w:rsidRDefault="002333D3" w:rsidP="00417A97">
      <w:pPr>
        <w:pStyle w:val="ListParagraph"/>
        <w:numPr>
          <w:ilvl w:val="0"/>
          <w:numId w:val="46"/>
        </w:numPr>
        <w:spacing w:after="240"/>
        <w:rPr>
          <w:rFonts w:ascii="Times New Roman" w:hAnsi="Times New Roman" w:cs="Times New Roman"/>
          <w:sz w:val="20"/>
        </w:rPr>
      </w:pPr>
      <w:r w:rsidRPr="002333D3">
        <w:rPr>
          <w:rFonts w:ascii="Times New Roman" w:hAnsi="Times New Roman" w:cs="Times New Roman"/>
          <w:sz w:val="20"/>
        </w:rPr>
        <w:t>R1-165243,</w:t>
      </w:r>
      <w:r w:rsidRPr="002333D3">
        <w:rPr>
          <w:rFonts w:ascii="Times New Roman" w:hAnsi="Times New Roman" w:cs="Times New Roman"/>
          <w:sz w:val="20"/>
        </w:rPr>
        <w:tab/>
        <w:t>“Detection Sequence in LTE-ITS Sidelink for Coexistence with IEEE 802.11p”, Ericsson</w:t>
      </w:r>
    </w:p>
    <w:p w:rsidR="002D2217" w:rsidRPr="002333D3" w:rsidRDefault="002D2217" w:rsidP="002D2217">
      <w:pPr>
        <w:pStyle w:val="Heading1"/>
        <w:numPr>
          <w:ilvl w:val="0"/>
          <w:numId w:val="0"/>
        </w:numPr>
        <w:ind w:left="432" w:hanging="432"/>
      </w:pPr>
      <w:r w:rsidRPr="002333D3">
        <w:t>Appendix</w:t>
      </w:r>
      <w:r w:rsidR="00ED1231" w:rsidRPr="002333D3">
        <w:t xml:space="preserve"> A</w:t>
      </w:r>
      <w:r w:rsidRPr="002333D3">
        <w:t xml:space="preserve">: </w:t>
      </w:r>
      <w:r w:rsidR="00ED1231" w:rsidRPr="002333D3">
        <w:t xml:space="preserve">Considerations on Receiver Implementation with Option 2 </w:t>
      </w:r>
    </w:p>
    <w:p w:rsidR="00ED1231" w:rsidRPr="002333D3" w:rsidRDefault="00ED1231" w:rsidP="00ED1231">
      <w:pPr>
        <w:jc w:val="both"/>
      </w:pPr>
      <w:r w:rsidRPr="002333D3">
        <w:t xml:space="preserve">With the shortened AGC settling period (Option 2), the first half symbol (of the first OFDM symbol) is lost. However, the receiver is still able to decode the entire Comb OFDM symbol, since all the information is contained in the second half symbol. The legacy receiver structure with minor changes can be reused to decode the entire Comb OFDM symbol. For example, the receiver may duplicate the second half symbol, as illustrated in </w:t>
      </w:r>
      <w:r w:rsidRPr="002333D3">
        <w:fldChar w:fldCharType="begin"/>
      </w:r>
      <w:r w:rsidRPr="002333D3">
        <w:instrText xml:space="preserve"> REF _Ref445739181 \h </w:instrText>
      </w:r>
      <w:r w:rsidR="002333D3">
        <w:instrText xml:space="preserve"> \* MERGEFORMAT </w:instrText>
      </w:r>
      <w:r w:rsidRPr="002333D3">
        <w:fldChar w:fldCharType="separate"/>
      </w:r>
      <w:r w:rsidRPr="002333D3">
        <w:t xml:space="preserve">Figure </w:t>
      </w:r>
      <w:r w:rsidRPr="002333D3">
        <w:rPr>
          <w:noProof/>
        </w:rPr>
        <w:t>3</w:t>
      </w:r>
      <w:r w:rsidRPr="002333D3">
        <w:fldChar w:fldCharType="end"/>
      </w:r>
    </w:p>
    <w:p w:rsidR="00ED1231" w:rsidRPr="002333D3" w:rsidRDefault="00ED1231" w:rsidP="00ED1231">
      <w:pPr>
        <w:keepNext/>
        <w:jc w:val="center"/>
      </w:pPr>
      <w:r w:rsidRPr="002333D3">
        <w:rPr>
          <w:noProof/>
          <w:lang w:val="en-US"/>
        </w:rPr>
        <w:drawing>
          <wp:inline distT="0" distB="0" distL="0" distR="0" wp14:anchorId="43B48751" wp14:editId="7FB7F72D">
            <wp:extent cx="5760000" cy="1575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1575250"/>
                    </a:xfrm>
                    <a:prstGeom prst="rect">
                      <a:avLst/>
                    </a:prstGeom>
                    <a:noFill/>
                  </pic:spPr>
                </pic:pic>
              </a:graphicData>
            </a:graphic>
          </wp:inline>
        </w:drawing>
      </w:r>
    </w:p>
    <w:p w:rsidR="00417A97" w:rsidRPr="002333D3" w:rsidRDefault="00ED1231" w:rsidP="00ED1231">
      <w:pPr>
        <w:pStyle w:val="Caption"/>
        <w:jc w:val="center"/>
      </w:pPr>
      <w:bookmarkStart w:id="11" w:name="_Ref445739181"/>
      <w:proofErr w:type="gramStart"/>
      <w:r w:rsidRPr="002333D3">
        <w:t xml:space="preserve">Figure </w:t>
      </w:r>
      <w:r w:rsidRPr="002333D3">
        <w:fldChar w:fldCharType="begin"/>
      </w:r>
      <w:r w:rsidRPr="002333D3">
        <w:instrText xml:space="preserve"> SEQ Figure \* ARABIC </w:instrText>
      </w:r>
      <w:r w:rsidRPr="002333D3">
        <w:fldChar w:fldCharType="separate"/>
      </w:r>
      <w:r w:rsidRPr="002333D3">
        <w:rPr>
          <w:noProof/>
        </w:rPr>
        <w:t>3</w:t>
      </w:r>
      <w:r w:rsidRPr="002333D3">
        <w:fldChar w:fldCharType="end"/>
      </w:r>
      <w:bookmarkEnd w:id="11"/>
      <w:r w:rsidRPr="002333D3">
        <w:t>.</w:t>
      </w:r>
      <w:proofErr w:type="gramEnd"/>
      <w:r w:rsidRPr="002333D3">
        <w:t xml:space="preserve"> </w:t>
      </w:r>
      <w:proofErr w:type="gramStart"/>
      <w:r w:rsidRPr="002333D3">
        <w:t>Example of receiver processing for reconstruction of the OFDM symbol from the second half symbol.</w:t>
      </w:r>
      <w:proofErr w:type="gramEnd"/>
    </w:p>
    <w:p w:rsidR="00ED1231" w:rsidRPr="002333D3" w:rsidRDefault="00ED1231" w:rsidP="00ED1231"/>
    <w:p w:rsidR="00ED1231" w:rsidRDefault="00ED1231" w:rsidP="00ED1231">
      <w:pPr>
        <w:pStyle w:val="Heading1"/>
        <w:numPr>
          <w:ilvl w:val="0"/>
          <w:numId w:val="0"/>
        </w:numPr>
        <w:ind w:left="432" w:hanging="432"/>
      </w:pPr>
      <w:r w:rsidRPr="002333D3">
        <w:t>Appendix B: Considerations on Receiver Implementation wi</w:t>
      </w:r>
      <w:r>
        <w:t>th Shortened Last Symbol</w:t>
      </w:r>
    </w:p>
    <w:p w:rsidR="00ED1231" w:rsidRDefault="00ED1231" w:rsidP="00ED1231">
      <w:pPr>
        <w:jc w:val="both"/>
      </w:pPr>
      <w:r>
        <w:t xml:space="preserve">Again, the legacy receiver structure with minor changes can be reused to decode the entire comb OFDM symbol. For example, the receiver may duplicate the second half symbol, as illustrated in </w:t>
      </w:r>
      <w:r>
        <w:fldChar w:fldCharType="begin"/>
      </w:r>
      <w:r>
        <w:instrText xml:space="preserve"> REF _Ref445740623 \h </w:instrText>
      </w:r>
      <w:r>
        <w:fldChar w:fldCharType="separate"/>
      </w:r>
      <w:r>
        <w:t xml:space="preserve">Figure </w:t>
      </w:r>
      <w:r>
        <w:rPr>
          <w:noProof/>
        </w:rPr>
        <w:t>4</w:t>
      </w:r>
      <w:r>
        <w:fldChar w:fldCharType="end"/>
      </w:r>
      <w:r>
        <w:t>.</w:t>
      </w:r>
    </w:p>
    <w:p w:rsidR="00ED1231" w:rsidRDefault="00ED1231" w:rsidP="00ED1231">
      <w:pPr>
        <w:keepNext/>
        <w:jc w:val="center"/>
      </w:pPr>
      <w:r>
        <w:rPr>
          <w:noProof/>
          <w:lang w:val="en-US"/>
        </w:rPr>
        <w:drawing>
          <wp:inline distT="0" distB="0" distL="0" distR="0" wp14:anchorId="2C7E8700" wp14:editId="0D0DD302">
            <wp:extent cx="5760000" cy="1572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1572945"/>
                    </a:xfrm>
                    <a:prstGeom prst="rect">
                      <a:avLst/>
                    </a:prstGeom>
                    <a:noFill/>
                  </pic:spPr>
                </pic:pic>
              </a:graphicData>
            </a:graphic>
          </wp:inline>
        </w:drawing>
      </w:r>
    </w:p>
    <w:p w:rsidR="00ED1231" w:rsidRDefault="00ED1231" w:rsidP="00ED1231">
      <w:pPr>
        <w:pStyle w:val="Caption"/>
        <w:jc w:val="center"/>
      </w:pPr>
      <w:bookmarkStart w:id="12" w:name="_Ref445740623"/>
      <w:proofErr w:type="gramStart"/>
      <w:r>
        <w:t xml:space="preserve">Figure </w:t>
      </w:r>
      <w:r>
        <w:fldChar w:fldCharType="begin"/>
      </w:r>
      <w:r>
        <w:instrText xml:space="preserve"> SEQ Figure \* ARABIC </w:instrText>
      </w:r>
      <w:r>
        <w:fldChar w:fldCharType="separate"/>
      </w:r>
      <w:r>
        <w:rPr>
          <w:noProof/>
        </w:rPr>
        <w:t>4</w:t>
      </w:r>
      <w:r>
        <w:fldChar w:fldCharType="end"/>
      </w:r>
      <w:bookmarkEnd w:id="12"/>
      <w:r>
        <w:t>.</w:t>
      </w:r>
      <w:proofErr w:type="gramEnd"/>
      <w:r>
        <w:t xml:space="preserve"> </w:t>
      </w:r>
      <w:proofErr w:type="gramStart"/>
      <w:r>
        <w:t>Example of receiver processing for reconstruction of the OFDM symbol from the first half symbol.</w:t>
      </w:r>
      <w:proofErr w:type="gramEnd"/>
    </w:p>
    <w:p w:rsidR="00ED1231" w:rsidRPr="00ED1231" w:rsidRDefault="00ED1231" w:rsidP="00ED1231"/>
    <w:sectPr w:rsidR="00ED1231" w:rsidRPr="00ED1231" w:rsidSect="004B319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D30" w:rsidRDefault="001A4D30">
      <w:r>
        <w:separator/>
      </w:r>
    </w:p>
  </w:endnote>
  <w:endnote w:type="continuationSeparator" w:id="0">
    <w:p w:rsidR="001A4D30" w:rsidRDefault="001A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D30" w:rsidRDefault="001A4D30">
      <w:r>
        <w:separator/>
      </w:r>
    </w:p>
  </w:footnote>
  <w:footnote w:type="continuationSeparator" w:id="0">
    <w:p w:rsidR="001A4D30" w:rsidRDefault="001A4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965323"/>
    <w:multiLevelType w:val="hybridMultilevel"/>
    <w:tmpl w:val="19A8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97310"/>
    <w:multiLevelType w:val="hybridMultilevel"/>
    <w:tmpl w:val="42B0E8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65D72"/>
    <w:multiLevelType w:val="hybridMultilevel"/>
    <w:tmpl w:val="5928D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D4516"/>
    <w:multiLevelType w:val="hybridMultilevel"/>
    <w:tmpl w:val="3CFE4C90"/>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0DB1B79"/>
    <w:multiLevelType w:val="hybridMultilevel"/>
    <w:tmpl w:val="78A6F8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44A5175"/>
    <w:multiLevelType w:val="hybridMultilevel"/>
    <w:tmpl w:val="63EEF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464106"/>
    <w:multiLevelType w:val="hybridMultilevel"/>
    <w:tmpl w:val="A41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1E1992"/>
    <w:multiLevelType w:val="hybridMultilevel"/>
    <w:tmpl w:val="49B2C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35488C"/>
    <w:multiLevelType w:val="hybridMultilevel"/>
    <w:tmpl w:val="E0C4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61D4D"/>
    <w:multiLevelType w:val="hybridMultilevel"/>
    <w:tmpl w:val="8584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E831DF"/>
    <w:multiLevelType w:val="hybridMultilevel"/>
    <w:tmpl w:val="08285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F54969"/>
    <w:multiLevelType w:val="hybridMultilevel"/>
    <w:tmpl w:val="FB70AC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3F41AFE"/>
    <w:multiLevelType w:val="hybridMultilevel"/>
    <w:tmpl w:val="51FE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771B46"/>
    <w:multiLevelType w:val="hybridMultilevel"/>
    <w:tmpl w:val="031475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9074561"/>
    <w:multiLevelType w:val="hybridMultilevel"/>
    <w:tmpl w:val="095C68B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nsid w:val="49131578"/>
    <w:multiLevelType w:val="hybridMultilevel"/>
    <w:tmpl w:val="AC32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730691"/>
    <w:multiLevelType w:val="hybridMultilevel"/>
    <w:tmpl w:val="3A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FA2D4A"/>
    <w:multiLevelType w:val="hybridMultilevel"/>
    <w:tmpl w:val="F37C8916"/>
    <w:lvl w:ilvl="0" w:tplc="379CE036">
      <w:start w:val="1"/>
      <w:numFmt w:val="decimal"/>
      <w:lvlText w:val="G%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635F0F"/>
    <w:multiLevelType w:val="hybridMultilevel"/>
    <w:tmpl w:val="3388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7247D2"/>
    <w:multiLevelType w:val="hybridMultilevel"/>
    <w:tmpl w:val="6DE0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01676"/>
    <w:multiLevelType w:val="hybridMultilevel"/>
    <w:tmpl w:val="BB80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80302C"/>
    <w:multiLevelType w:val="hybridMultilevel"/>
    <w:tmpl w:val="69C4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4A6B38"/>
    <w:multiLevelType w:val="hybridMultilevel"/>
    <w:tmpl w:val="09FA04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68AD0C49"/>
    <w:multiLevelType w:val="hybridMultilevel"/>
    <w:tmpl w:val="D95E9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1F63337"/>
    <w:multiLevelType w:val="hybridMultilevel"/>
    <w:tmpl w:val="F7809F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nsid w:val="74926102"/>
    <w:multiLevelType w:val="hybridMultilevel"/>
    <w:tmpl w:val="A734F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5">
    <w:nsid w:val="7DC77ECF"/>
    <w:multiLevelType w:val="hybridMultilevel"/>
    <w:tmpl w:val="251A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4D27AE"/>
    <w:multiLevelType w:val="hybridMultilevel"/>
    <w:tmpl w:val="D7D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41"/>
  </w:num>
  <w:num w:numId="4">
    <w:abstractNumId w:val="20"/>
  </w:num>
  <w:num w:numId="5">
    <w:abstractNumId w:val="26"/>
  </w:num>
  <w:num w:numId="6">
    <w:abstractNumId w:val="44"/>
  </w:num>
  <w:num w:numId="7">
    <w:abstractNumId w:val="5"/>
  </w:num>
  <w:num w:numId="8">
    <w:abstractNumId w:val="2"/>
  </w:num>
  <w:num w:numId="9">
    <w:abstractNumId w:val="33"/>
  </w:num>
  <w:num w:numId="10">
    <w:abstractNumId w:val="14"/>
  </w:num>
  <w:num w:numId="11">
    <w:abstractNumId w:val="38"/>
  </w:num>
  <w:num w:numId="12">
    <w:abstractNumId w:val="21"/>
  </w:num>
  <w:num w:numId="13">
    <w:abstractNumId w:val="35"/>
  </w:num>
  <w:num w:numId="14">
    <w:abstractNumId w:val="39"/>
  </w:num>
  <w:num w:numId="15">
    <w:abstractNumId w:val="37"/>
  </w:num>
  <w:num w:numId="16">
    <w:abstractNumId w:val="8"/>
  </w:num>
  <w:num w:numId="17">
    <w:abstractNumId w:val="25"/>
  </w:num>
  <w:num w:numId="18">
    <w:abstractNumId w:val="9"/>
  </w:num>
  <w:num w:numId="19">
    <w:abstractNumId w:val="4"/>
  </w:num>
  <w:num w:numId="20">
    <w:abstractNumId w:val="28"/>
  </w:num>
  <w:num w:numId="21">
    <w:abstractNumId w:val="3"/>
  </w:num>
  <w:num w:numId="22">
    <w:abstractNumId w:val="46"/>
  </w:num>
  <w:num w:numId="23">
    <w:abstractNumId w:val="45"/>
  </w:num>
  <w:num w:numId="24">
    <w:abstractNumId w:val="22"/>
  </w:num>
  <w:num w:numId="25">
    <w:abstractNumId w:val="30"/>
  </w:num>
  <w:num w:numId="26">
    <w:abstractNumId w:val="42"/>
  </w:num>
  <w:num w:numId="27">
    <w:abstractNumId w:val="15"/>
  </w:num>
  <w:num w:numId="28">
    <w:abstractNumId w:val="7"/>
  </w:num>
  <w:num w:numId="29">
    <w:abstractNumId w:val="29"/>
  </w:num>
  <w:num w:numId="30">
    <w:abstractNumId w:val="36"/>
  </w:num>
  <w:num w:numId="31">
    <w:abstractNumId w:val="18"/>
  </w:num>
  <w:num w:numId="32">
    <w:abstractNumId w:val="24"/>
  </w:num>
  <w:num w:numId="33">
    <w:abstractNumId w:val="31"/>
  </w:num>
  <w:num w:numId="34">
    <w:abstractNumId w:val="11"/>
  </w:num>
  <w:num w:numId="35">
    <w:abstractNumId w:val="13"/>
  </w:num>
  <w:num w:numId="36">
    <w:abstractNumId w:val="32"/>
  </w:num>
  <w:num w:numId="37">
    <w:abstractNumId w:val="23"/>
  </w:num>
  <w:num w:numId="38">
    <w:abstractNumId w:val="10"/>
  </w:num>
  <w:num w:numId="39">
    <w:abstractNumId w:val="16"/>
  </w:num>
  <w:num w:numId="40">
    <w:abstractNumId w:val="1"/>
  </w:num>
  <w:num w:numId="41">
    <w:abstractNumId w:val="12"/>
  </w:num>
  <w:num w:numId="42">
    <w:abstractNumId w:val="40"/>
  </w:num>
  <w:num w:numId="43">
    <w:abstractNumId w:val="19"/>
  </w:num>
  <w:num w:numId="44">
    <w:abstractNumId w:val="34"/>
  </w:num>
  <w:num w:numId="45">
    <w:abstractNumId w:val="17"/>
  </w:num>
  <w:num w:numId="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B19"/>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AC3"/>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D30"/>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3D3"/>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5DB"/>
    <w:rsid w:val="00283507"/>
    <w:rsid w:val="00283FFD"/>
    <w:rsid w:val="0028409F"/>
    <w:rsid w:val="00284161"/>
    <w:rsid w:val="00284974"/>
    <w:rsid w:val="00284A2B"/>
    <w:rsid w:val="0028542B"/>
    <w:rsid w:val="00285769"/>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17"/>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474"/>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3917"/>
    <w:rsid w:val="0038404A"/>
    <w:rsid w:val="0038420A"/>
    <w:rsid w:val="0038443A"/>
    <w:rsid w:val="003847C1"/>
    <w:rsid w:val="00385BB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4E8A"/>
    <w:rsid w:val="005955C9"/>
    <w:rsid w:val="00595CAD"/>
    <w:rsid w:val="00596071"/>
    <w:rsid w:val="00596343"/>
    <w:rsid w:val="0059636A"/>
    <w:rsid w:val="005963CF"/>
    <w:rsid w:val="0059663C"/>
    <w:rsid w:val="0059667D"/>
    <w:rsid w:val="00596C86"/>
    <w:rsid w:val="00597127"/>
    <w:rsid w:val="0059724B"/>
    <w:rsid w:val="00597274"/>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508"/>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D27"/>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353"/>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6F2A"/>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17D30"/>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EC"/>
    <w:rsid w:val="0091364E"/>
    <w:rsid w:val="00913B5B"/>
    <w:rsid w:val="009149B0"/>
    <w:rsid w:val="00914B21"/>
    <w:rsid w:val="00915772"/>
    <w:rsid w:val="009158C7"/>
    <w:rsid w:val="00915D5D"/>
    <w:rsid w:val="00915DC4"/>
    <w:rsid w:val="009160FC"/>
    <w:rsid w:val="0091679C"/>
    <w:rsid w:val="00916A4D"/>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5AB4"/>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057"/>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214"/>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CFA"/>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3F0"/>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B35"/>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60CD"/>
    <w:rsid w:val="00DA6DAA"/>
    <w:rsid w:val="00DB0052"/>
    <w:rsid w:val="00DB0437"/>
    <w:rsid w:val="00DB0452"/>
    <w:rsid w:val="00DB09FA"/>
    <w:rsid w:val="00DB0FCF"/>
    <w:rsid w:val="00DB119D"/>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8A"/>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75D"/>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C3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231"/>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83303-F2CC-495F-B9D6-097CE4CD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2016-05-13T13:41:00Z</dcterms:modified>
</cp:coreProperties>
</file>